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b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>
      <w:pPr>
        <w:spacing w:line="600" w:lineRule="exact"/>
        <w:jc w:val="center"/>
        <w:rPr>
          <w:rFonts w:hint="eastAsia" w:ascii="仿宋_GB2312" w:eastAsia="仿宋_GB2312"/>
          <w:w w:val="85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60" w:lineRule="exact"/>
        <w:ind w:left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2023年度专项业务费收入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4.52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万元，支出14.52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万元，预算执行率100%，主要用于退役士兵技能培训和维稳专项经费、优抚工作经费、党建经费、计生经费、综治经费、安全生产经费、扶贫经费等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（二）项目绩效目标。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总体目标</w:t>
      </w:r>
      <w:r>
        <w:rPr>
          <w:rFonts w:hint="eastAsia" w:ascii="仿宋_GB2312" w:eastAsia="仿宋_GB2312"/>
          <w:sz w:val="32"/>
          <w:szCs w:val="32"/>
          <w:lang w:eastAsia="zh-CN"/>
        </w:rPr>
        <w:t>：贯彻执行国家有关退役军人思想政治权益维护、管理保障、安置优抚、军休、就业创业等工作政策法规。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阶段性目标</w:t>
      </w:r>
      <w:r>
        <w:rPr>
          <w:rFonts w:hint="eastAsia" w:ascii="仿宋_GB2312" w:eastAsia="仿宋_GB2312"/>
          <w:sz w:val="32"/>
          <w:szCs w:val="32"/>
          <w:lang w:eastAsia="zh-CN"/>
        </w:rPr>
        <w:t>：做好退役军人服务工作,保障优抚对象权益,按质按量完成全年各项工作,争创先进单位。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（3）促使项目承担科室及项目分管领导，对绩效评价中发现的问题，认真整改，及时调整和完善单位的工作计划和绩效目标，提高管理水平，同时为项目后续资金投入、分配和管理提供决策依据。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（4）2023年度专项业务费项目1个，涉及资金14.52万元，主要范围是</w:t>
      </w:r>
      <w:r>
        <w:rPr>
          <w:rFonts w:hint="eastAsia" w:ascii="仿宋_GB2312" w:eastAsia="仿宋_GB2312"/>
          <w:sz w:val="32"/>
          <w:szCs w:val="32"/>
        </w:rPr>
        <w:t>退役士兵技能培训和维稳专项经费、优抚工作经费、党建经费、计生经费、综治经费、安全生产经费、扶贫经费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等。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（4）公开透明。绩效评价结果应依法依规公开，并自觉接受社会监督。</w:t>
      </w:r>
    </w:p>
    <w:p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>
      <w:pPr>
        <w:spacing w:line="560" w:lineRule="exact"/>
        <w:ind w:left="0"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tbl>
      <w:tblPr>
        <w:tblW w:w="87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1559"/>
        <w:gridCol w:w="1559"/>
        <w:gridCol w:w="950"/>
        <w:gridCol w:w="37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指标值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指标值内容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专项业务费资金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14.52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专项业务费资金≥14.52万元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社会成本指标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生态环境成本指标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退役士兵技能培训宣传会议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1次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退役士兵技能培训宣传会议≥1次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退役军人相关政策宣传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退役军人相关政策宣传≥12次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优抚对象接待次数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优抚对象接待次数≥400人次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各项业务开展情况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正常开展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各项业务均能正常开展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年度计划任务及时完成率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2023年12月31日前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年度计划任务按工作任务实施方案计划节点序时推进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让军人成为全社公尊崇的职业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效果显著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协调各方力量更好地为退役军人军属服务，维护退役军人军属合法权益，让军人成为全社公尊崇的职业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增强军民团结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效果显著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持续做好退役军人各项事务，维护退役军人军属合法权益，增强军民团结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绝大部分服务对象满意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（三）绩效评价工作过程。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1.成立绩效评价领导小组；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2.组织相关人员进行培训；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3.收集相关资料；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4.分析资料、汇总评价数据；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5.填写项目支出绩效单位自评表，撰写绩效自评报告</w:t>
      </w:r>
    </w:p>
    <w:p>
      <w:pPr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三、综合评价情况及评价结论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（附相关评分表）</w:t>
      </w:r>
    </w:p>
    <w:p>
      <w:pPr>
        <w:spacing w:line="560" w:lineRule="exact"/>
        <w:ind w:firstLine="640" w:firstLineChars="200"/>
        <w:jc w:val="left"/>
        <w:rPr>
          <w:rFonts w:hint="eastAsia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相关指标，逐一对应指标值数进行综合评价，自评分数为96分，评价结果为优秀。</w:t>
      </w:r>
    </w:p>
    <w:tbl>
      <w:tblPr>
        <w:tblW w:w="94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9"/>
        <w:gridCol w:w="1559"/>
        <w:gridCol w:w="1559"/>
        <w:gridCol w:w="950"/>
        <w:gridCol w:w="3703"/>
        <w:gridCol w:w="7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指标值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指标值内容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default" w:ascii="Arial Unicode MS" w:hAnsi="Arial Unicode MS" w:eastAsia="Arial Unicode MS" w:cs="Arial Unicode MS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自评得分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经济成本指标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专项业务费资金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14.52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专项业务费资金≥14.52万元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社会成本指标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生态环境成本指标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15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退役士兵技能培训宣传会议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1次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退役士兵技能培训宣传会议≥1次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退役军人相关政策宣传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退役军人相关政策宣传≥12次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优抚对象接待次数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400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优抚对象接待次数≥400人次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各项业务开展情况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正常开展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各项业务均能正常开展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9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年度计划任务及时完成率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2023年12月31日前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年度计划任务按工作任务实施方案计划节点序时推进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让军人成为全社公尊崇的职业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效果显著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协调各方力量更好地为退役军人军属服务，维护退役军人军属合法权益，让军人成为全社公尊崇的职业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不适用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增强军民团结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效果显著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持续做好退役军人各项事务，维护退役军人军属合法权益，增强军民团结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服务对象满意度指标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服务对象满意度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90%</w:t>
            </w:r>
          </w:p>
        </w:tc>
        <w:tc>
          <w:tcPr>
            <w:tcW w:w="3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绝大部分服务对象满意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hint="eastAsia" w:eastAsia="仿宋_GB2312" w:cs="Times New Roman"/>
          <w:sz w:val="32"/>
          <w:szCs w:val="32"/>
          <w:lang w:val="en-US" w:eastAsia="zh-CN" w:bidi="ar-SA"/>
        </w:rPr>
      </w:pP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四、绩效评价指标分析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根据本年度退役军人事务工作进度安排及相关业务发生的顺序，做好退役军人服务工作,保障优抚对象权益,按质按量完成全年各项工作,争创先进单位。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仿宋" w:hAnsi="仿宋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2023年度专项业务费项目1个，收入资金14.52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万元，支出决算数为14.52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万元，执行率为100%。主要用于</w:t>
      </w:r>
      <w:r>
        <w:rPr>
          <w:rFonts w:hint="eastAsia" w:ascii="仿宋_GB2312" w:eastAsia="仿宋_GB2312"/>
          <w:sz w:val="32"/>
          <w:szCs w:val="32"/>
        </w:rPr>
        <w:t>退役士兵技能培训和维稳专项经费、优抚工作经费、党建经费、计生经费、综治经费、安全生产经费、扶贫经费等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从综合评价得分情况看，此项目综合评价满分为100分，实际得分96分，社会效益指标及可持续影响指标有所扣分，主要原因是由于本年度专项业务费主要用于信访等工作支出，保密性较多，社会效益未达到预算绩效目标所致。</w:t>
      </w:r>
    </w:p>
    <w:p>
      <w:pPr>
        <w:numPr>
          <w:ilvl w:val="0"/>
          <w:numId w:val="1"/>
        </w:numPr>
        <w:spacing w:line="560" w:lineRule="exact"/>
        <w:ind w:left="0" w:leftChars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项目效益情况。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保证</w:t>
      </w:r>
      <w:r>
        <w:rPr>
          <w:rFonts w:hint="eastAsia" w:ascii="仿宋_GB2312" w:eastAsia="仿宋_GB2312"/>
          <w:sz w:val="32"/>
          <w:szCs w:val="32"/>
        </w:rPr>
        <w:t>退役士兵技能培训和维稳专项经费、优抚工作经费、党建经费、计生经费、综治经费、安全生产经费、扶贫经费等</w:t>
      </w:r>
      <w:r>
        <w:rPr>
          <w:rFonts w:hint="eastAsia" w:ascii="仿宋_GB2312" w:eastAsia="仿宋_GB2312"/>
          <w:sz w:val="32"/>
          <w:szCs w:val="32"/>
          <w:lang w:eastAsia="zh-CN"/>
        </w:rPr>
        <w:t>资金支出，有效做好退役军人服务工作</w:t>
      </w:r>
      <w:r>
        <w:rPr>
          <w:rFonts w:hint="eastAsia" w:ascii="仿宋_GB2312" w:eastAsia="仿宋_GB2312"/>
          <w:sz w:val="32"/>
          <w:szCs w:val="32"/>
        </w:rPr>
        <w:t>、保障优抚对象权益、按质按量完成全年各项工作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五、主要经验及做法、存在的问题及原因分析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六、有关建议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七、其他需要说明的问题</w:t>
      </w:r>
    </w:p>
    <w:p>
      <w:pPr>
        <w:pStyle w:val="3"/>
        <w:widowControl w:val="0"/>
        <w:spacing w:before="0" w:beforeAutospacing="0" w:after="0" w:afterAutospacing="0" w:line="520" w:lineRule="exac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无</w:t>
      </w:r>
    </w:p>
    <w:p>
      <w:pPr>
        <w:ind w:left="8960" w:hanging="8960" w:hangingChars="2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 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新晃侗族自治县退役军人事务局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>
      <w:pPr>
        <w:ind w:firstLine="5120" w:firstLineChars="1600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2ADF24"/>
    <w:multiLevelType w:val="singleLevel"/>
    <w:tmpl w:val="222ADF2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37732970"/>
    <w:rsid w:val="56A360DC"/>
    <w:rsid w:val="66540823"/>
    <w:rsid w:val="6917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  <w:style w:type="paragraph" w:customStyle="1" w:styleId="8">
    <w:name w:val="正文1"/>
    <w:autoRedefine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Calibri" w:hAnsi="Calibri" w:eastAsia="宋体" w:cs="Times New Roman"/>
      <w:color w:val="auto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2024-04-12T02:38:58Z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